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CCFFB" w14:textId="077CADDF" w:rsidR="008A206C" w:rsidRPr="00667F82" w:rsidRDefault="0062103D" w:rsidP="0062103D">
      <w:pPr>
        <w:jc w:val="center"/>
        <w:rPr>
          <w:rFonts w:cs="Calibri"/>
          <w:b/>
          <w:bCs/>
          <w:sz w:val="44"/>
          <w:szCs w:val="44"/>
          <w:lang w:val="en-GB"/>
        </w:rPr>
      </w:pPr>
      <w:r w:rsidRPr="00667F82">
        <w:rPr>
          <w:rFonts w:cs="Calibri"/>
          <w:b/>
          <w:bCs/>
          <w:sz w:val="44"/>
          <w:szCs w:val="44"/>
          <w:lang w:val="en-GB"/>
        </w:rPr>
        <w:t>Training Policy</w:t>
      </w:r>
    </w:p>
    <w:p w14:paraId="75DF9D92" w14:textId="7F91E27D" w:rsidR="0062103D" w:rsidRPr="00667F82" w:rsidRDefault="0062103D" w:rsidP="0062103D">
      <w:pPr>
        <w:tabs>
          <w:tab w:val="left" w:pos="1190"/>
        </w:tabs>
        <w:jc w:val="both"/>
        <w:rPr>
          <w:rFonts w:cs="Calibri"/>
          <w:b/>
          <w:bCs/>
          <w:sz w:val="28"/>
          <w:szCs w:val="28"/>
        </w:rPr>
      </w:pPr>
      <w:r w:rsidRPr="00667F82">
        <w:rPr>
          <w:rFonts w:cs="Calibri"/>
          <w:b/>
          <w:bCs/>
          <w:sz w:val="28"/>
          <w:szCs w:val="28"/>
        </w:rPr>
        <w:t>1. Purpose</w:t>
      </w:r>
    </w:p>
    <w:p w14:paraId="1EACE898" w14:textId="77777777" w:rsidR="0062103D" w:rsidRPr="00667F82" w:rsidRDefault="0062103D" w:rsidP="0062103D">
      <w:pPr>
        <w:tabs>
          <w:tab w:val="left" w:pos="1190"/>
        </w:tabs>
        <w:rPr>
          <w:rFonts w:cs="Calibri"/>
          <w:sz w:val="28"/>
          <w:szCs w:val="28"/>
        </w:rPr>
      </w:pPr>
      <w:r w:rsidRPr="00667F82">
        <w:rPr>
          <w:rFonts w:cs="Calibri"/>
          <w:sz w:val="28"/>
          <w:szCs w:val="28"/>
        </w:rPr>
        <w:t>To establish a structured framework for planning, delivering, and evaluating training programs at TQTI, ensuring consistency, quality, and alignment with national standards and industry needs.</w:t>
      </w:r>
    </w:p>
    <w:p w14:paraId="6A63E11D" w14:textId="77777777" w:rsidR="0062103D" w:rsidRPr="00667F82" w:rsidRDefault="0062103D" w:rsidP="0062103D">
      <w:pPr>
        <w:tabs>
          <w:tab w:val="left" w:pos="1190"/>
        </w:tabs>
        <w:rPr>
          <w:rFonts w:cs="Calibri"/>
          <w:b/>
          <w:bCs/>
          <w:sz w:val="28"/>
          <w:szCs w:val="28"/>
        </w:rPr>
      </w:pPr>
      <w:r w:rsidRPr="00667F82">
        <w:rPr>
          <w:rFonts w:cs="Calibri"/>
          <w:b/>
          <w:bCs/>
          <w:sz w:val="28"/>
          <w:szCs w:val="28"/>
        </w:rPr>
        <w:t>2. Scope</w:t>
      </w:r>
    </w:p>
    <w:p w14:paraId="14C003D5" w14:textId="77777777" w:rsidR="0062103D" w:rsidRPr="00667F82" w:rsidRDefault="0062103D" w:rsidP="0062103D">
      <w:pPr>
        <w:tabs>
          <w:tab w:val="left" w:pos="1190"/>
        </w:tabs>
        <w:rPr>
          <w:rFonts w:cs="Calibri"/>
          <w:sz w:val="28"/>
          <w:szCs w:val="28"/>
        </w:rPr>
      </w:pPr>
      <w:r w:rsidRPr="00667F82">
        <w:rPr>
          <w:rFonts w:cs="Calibri"/>
          <w:sz w:val="28"/>
          <w:szCs w:val="28"/>
        </w:rPr>
        <w:t>This policy applies to:</w:t>
      </w:r>
    </w:p>
    <w:p w14:paraId="255FC43E" w14:textId="77777777" w:rsidR="0062103D" w:rsidRPr="00667F82" w:rsidRDefault="0062103D" w:rsidP="0062103D">
      <w:pPr>
        <w:numPr>
          <w:ilvl w:val="0"/>
          <w:numId w:val="3"/>
        </w:numPr>
        <w:tabs>
          <w:tab w:val="left" w:pos="1190"/>
        </w:tabs>
        <w:rPr>
          <w:rFonts w:cs="Calibri"/>
          <w:sz w:val="28"/>
          <w:szCs w:val="28"/>
        </w:rPr>
      </w:pPr>
      <w:r w:rsidRPr="00667F82">
        <w:rPr>
          <w:rFonts w:cs="Calibri"/>
          <w:sz w:val="28"/>
          <w:szCs w:val="28"/>
        </w:rPr>
        <w:t>All training programs (short and long duration)</w:t>
      </w:r>
    </w:p>
    <w:p w14:paraId="65F84B66" w14:textId="77777777" w:rsidR="0062103D" w:rsidRPr="00667F82" w:rsidRDefault="0062103D" w:rsidP="0062103D">
      <w:pPr>
        <w:numPr>
          <w:ilvl w:val="0"/>
          <w:numId w:val="3"/>
        </w:numPr>
        <w:tabs>
          <w:tab w:val="left" w:pos="1190"/>
        </w:tabs>
        <w:rPr>
          <w:rFonts w:cs="Calibri"/>
          <w:sz w:val="28"/>
          <w:szCs w:val="28"/>
        </w:rPr>
      </w:pPr>
      <w:r w:rsidRPr="00667F82">
        <w:rPr>
          <w:rFonts w:cs="Calibri"/>
          <w:sz w:val="28"/>
          <w:szCs w:val="28"/>
        </w:rPr>
        <w:t>All trainers, assessors, and support staff</w:t>
      </w:r>
    </w:p>
    <w:p w14:paraId="01716FD6" w14:textId="77777777" w:rsidR="0062103D" w:rsidRPr="00667F82" w:rsidRDefault="0062103D" w:rsidP="0062103D">
      <w:pPr>
        <w:numPr>
          <w:ilvl w:val="0"/>
          <w:numId w:val="3"/>
        </w:numPr>
        <w:tabs>
          <w:tab w:val="left" w:pos="1190"/>
        </w:tabs>
        <w:rPr>
          <w:rFonts w:cs="Calibri"/>
          <w:sz w:val="28"/>
          <w:szCs w:val="28"/>
        </w:rPr>
      </w:pPr>
      <w:r w:rsidRPr="00667F82">
        <w:rPr>
          <w:rFonts w:cs="Calibri"/>
          <w:sz w:val="28"/>
          <w:szCs w:val="28"/>
        </w:rPr>
        <w:t>Internal and external quality assurance activities</w:t>
      </w:r>
    </w:p>
    <w:p w14:paraId="08CE35BA" w14:textId="7502E131" w:rsidR="0062103D" w:rsidRPr="00667F82" w:rsidRDefault="0062103D" w:rsidP="0062103D">
      <w:pPr>
        <w:tabs>
          <w:tab w:val="left" w:pos="1190"/>
        </w:tabs>
        <w:rPr>
          <w:rFonts w:cs="Calibri"/>
          <w:sz w:val="28"/>
          <w:szCs w:val="28"/>
        </w:rPr>
      </w:pPr>
      <w:r w:rsidRPr="00667F82">
        <w:rPr>
          <w:rFonts w:cs="Calibri"/>
          <w:sz w:val="28"/>
          <w:szCs w:val="28"/>
        </w:rPr>
        <w:t xml:space="preserve">3. </w:t>
      </w:r>
      <w:r w:rsidRPr="00667F82">
        <w:rPr>
          <w:rFonts w:cs="Calibri"/>
          <w:b/>
          <w:bCs/>
          <w:sz w:val="28"/>
          <w:szCs w:val="28"/>
        </w:rPr>
        <w:t>Training Types</w:t>
      </w:r>
    </w:p>
    <w:tbl>
      <w:tblPr>
        <w:tblStyle w:val="TableGrid"/>
        <w:tblW w:w="0" w:type="auto"/>
        <w:tblLook w:val="04A0" w:firstRow="1" w:lastRow="0" w:firstColumn="1" w:lastColumn="0" w:noHBand="0" w:noVBand="1"/>
      </w:tblPr>
      <w:tblGrid>
        <w:gridCol w:w="4675"/>
        <w:gridCol w:w="4675"/>
      </w:tblGrid>
      <w:tr w:rsidR="0062103D" w:rsidRPr="00667F82" w14:paraId="247FF7D2" w14:textId="77777777" w:rsidTr="0062103D">
        <w:tc>
          <w:tcPr>
            <w:tcW w:w="4675" w:type="dxa"/>
          </w:tcPr>
          <w:p w14:paraId="0B8602D8" w14:textId="78965F9E" w:rsidR="0062103D" w:rsidRPr="00667F82" w:rsidRDefault="0062103D" w:rsidP="0062103D">
            <w:pPr>
              <w:rPr>
                <w:rFonts w:cs="Calibri"/>
                <w:b/>
                <w:bCs/>
                <w:sz w:val="28"/>
                <w:szCs w:val="28"/>
                <w:lang w:val="en-GB"/>
              </w:rPr>
            </w:pPr>
            <w:r w:rsidRPr="00667F82">
              <w:rPr>
                <w:rFonts w:cs="Calibri"/>
                <w:b/>
                <w:bCs/>
                <w:sz w:val="28"/>
                <w:szCs w:val="28"/>
                <w:lang w:val="en-GB"/>
              </w:rPr>
              <w:t>Type</w:t>
            </w:r>
          </w:p>
        </w:tc>
        <w:tc>
          <w:tcPr>
            <w:tcW w:w="4675" w:type="dxa"/>
          </w:tcPr>
          <w:p w14:paraId="2F27CA13" w14:textId="27AB94F1" w:rsidR="0062103D" w:rsidRPr="00667F82" w:rsidRDefault="0062103D" w:rsidP="0062103D">
            <w:pPr>
              <w:rPr>
                <w:rFonts w:cs="Calibri"/>
                <w:b/>
                <w:bCs/>
                <w:sz w:val="28"/>
                <w:szCs w:val="28"/>
                <w:lang w:val="en-GB"/>
              </w:rPr>
            </w:pPr>
            <w:r w:rsidRPr="00667F82">
              <w:rPr>
                <w:rFonts w:cs="Calibri"/>
                <w:b/>
                <w:bCs/>
                <w:sz w:val="28"/>
                <w:szCs w:val="28"/>
                <w:lang w:val="en-GB"/>
              </w:rPr>
              <w:t>Description</w:t>
            </w:r>
          </w:p>
        </w:tc>
      </w:tr>
      <w:tr w:rsidR="0062103D" w:rsidRPr="00667F82" w14:paraId="246B250C" w14:textId="77777777" w:rsidTr="0062103D">
        <w:tc>
          <w:tcPr>
            <w:tcW w:w="4675" w:type="dxa"/>
          </w:tcPr>
          <w:p w14:paraId="5C53009D" w14:textId="72B9CBEB" w:rsidR="0062103D" w:rsidRPr="00667F82" w:rsidRDefault="0062103D" w:rsidP="0062103D">
            <w:pPr>
              <w:rPr>
                <w:rFonts w:cs="Calibri"/>
                <w:sz w:val="28"/>
                <w:szCs w:val="28"/>
                <w:lang w:val="en-GB"/>
              </w:rPr>
            </w:pPr>
            <w:r w:rsidRPr="00667F82">
              <w:rPr>
                <w:rFonts w:cs="Calibri"/>
                <w:sz w:val="28"/>
                <w:szCs w:val="28"/>
                <w:lang w:val="en-GB"/>
              </w:rPr>
              <w:t>Short Courses</w:t>
            </w:r>
          </w:p>
        </w:tc>
        <w:tc>
          <w:tcPr>
            <w:tcW w:w="4675" w:type="dxa"/>
          </w:tcPr>
          <w:p w14:paraId="774B7241" w14:textId="02F4561E" w:rsidR="0062103D" w:rsidRPr="00667F82" w:rsidRDefault="00A325A3" w:rsidP="0062103D">
            <w:pPr>
              <w:rPr>
                <w:rFonts w:cs="Calibri"/>
                <w:sz w:val="28"/>
                <w:szCs w:val="28"/>
                <w:lang w:val="en-GB"/>
              </w:rPr>
            </w:pPr>
            <w:r w:rsidRPr="00667F82">
              <w:rPr>
                <w:rFonts w:cs="Calibri"/>
                <w:sz w:val="28"/>
                <w:szCs w:val="28"/>
                <w:lang w:val="en-GB"/>
              </w:rPr>
              <w:t>Focused skill-based sessions</w:t>
            </w:r>
          </w:p>
        </w:tc>
      </w:tr>
      <w:tr w:rsidR="0062103D" w:rsidRPr="00667F82" w14:paraId="432886F6" w14:textId="77777777" w:rsidTr="0062103D">
        <w:tc>
          <w:tcPr>
            <w:tcW w:w="4675" w:type="dxa"/>
          </w:tcPr>
          <w:p w14:paraId="3D78F388" w14:textId="1101F5F3" w:rsidR="0062103D" w:rsidRPr="00667F82" w:rsidRDefault="0062103D" w:rsidP="0062103D">
            <w:pPr>
              <w:rPr>
                <w:rFonts w:cs="Calibri"/>
                <w:sz w:val="28"/>
                <w:szCs w:val="28"/>
                <w:lang w:val="en-GB"/>
              </w:rPr>
            </w:pPr>
            <w:r w:rsidRPr="00667F82">
              <w:rPr>
                <w:rFonts w:cs="Calibri"/>
                <w:sz w:val="28"/>
                <w:szCs w:val="28"/>
                <w:lang w:val="en-GB"/>
              </w:rPr>
              <w:t>Long Courses</w:t>
            </w:r>
          </w:p>
        </w:tc>
        <w:tc>
          <w:tcPr>
            <w:tcW w:w="4675" w:type="dxa"/>
          </w:tcPr>
          <w:p w14:paraId="64238EC2" w14:textId="5AE111C4" w:rsidR="0062103D" w:rsidRPr="00667F82" w:rsidRDefault="00A325A3" w:rsidP="0062103D">
            <w:pPr>
              <w:rPr>
                <w:rFonts w:cs="Calibri"/>
                <w:sz w:val="28"/>
                <w:szCs w:val="28"/>
                <w:lang w:val="en-GB"/>
              </w:rPr>
            </w:pPr>
            <w:r w:rsidRPr="00667F82">
              <w:rPr>
                <w:rFonts w:cs="Calibri"/>
                <w:sz w:val="28"/>
                <w:szCs w:val="28"/>
                <w:lang w:val="en-GB"/>
              </w:rPr>
              <w:t>Comprehensive programs with assessments</w:t>
            </w:r>
          </w:p>
        </w:tc>
      </w:tr>
    </w:tbl>
    <w:p w14:paraId="388A4C10" w14:textId="77777777" w:rsidR="0062103D" w:rsidRPr="00667F82" w:rsidRDefault="0062103D" w:rsidP="0062103D">
      <w:pPr>
        <w:rPr>
          <w:rFonts w:cs="Calibri"/>
          <w:sz w:val="28"/>
          <w:szCs w:val="28"/>
          <w:lang w:val="en-GB"/>
        </w:rPr>
      </w:pPr>
    </w:p>
    <w:p w14:paraId="230B48AA" w14:textId="77777777" w:rsidR="00A325A3" w:rsidRPr="00667F82" w:rsidRDefault="00A325A3" w:rsidP="00A325A3">
      <w:pPr>
        <w:rPr>
          <w:rFonts w:cs="Calibri"/>
          <w:b/>
          <w:bCs/>
          <w:sz w:val="28"/>
          <w:szCs w:val="28"/>
        </w:rPr>
      </w:pPr>
      <w:r w:rsidRPr="00667F82">
        <w:rPr>
          <w:rFonts w:cs="Calibri"/>
          <w:b/>
          <w:bCs/>
          <w:sz w:val="28"/>
          <w:szCs w:val="28"/>
        </w:rPr>
        <w:t>4. Training Objectives</w:t>
      </w:r>
    </w:p>
    <w:p w14:paraId="02EF59CF" w14:textId="0BB3477B" w:rsidR="00A325A3" w:rsidRPr="00667F82" w:rsidRDefault="00A325A3" w:rsidP="00A325A3">
      <w:pPr>
        <w:numPr>
          <w:ilvl w:val="0"/>
          <w:numId w:val="4"/>
        </w:numPr>
        <w:rPr>
          <w:rFonts w:cs="Calibri"/>
          <w:sz w:val="28"/>
          <w:szCs w:val="28"/>
        </w:rPr>
      </w:pPr>
      <w:r w:rsidRPr="00667F82">
        <w:rPr>
          <w:rFonts w:cs="Calibri"/>
          <w:sz w:val="28"/>
          <w:szCs w:val="28"/>
        </w:rPr>
        <w:t>Deliver competency-based training aligned with awarding bodies and industry standards</w:t>
      </w:r>
    </w:p>
    <w:p w14:paraId="33550895" w14:textId="77777777" w:rsidR="00A325A3" w:rsidRPr="00667F82" w:rsidRDefault="00A325A3" w:rsidP="00A325A3">
      <w:pPr>
        <w:numPr>
          <w:ilvl w:val="0"/>
          <w:numId w:val="4"/>
        </w:numPr>
        <w:rPr>
          <w:rFonts w:cs="Calibri"/>
          <w:sz w:val="28"/>
          <w:szCs w:val="28"/>
        </w:rPr>
      </w:pPr>
      <w:r w:rsidRPr="00667F82">
        <w:rPr>
          <w:rFonts w:cs="Calibri"/>
          <w:sz w:val="28"/>
          <w:szCs w:val="28"/>
        </w:rPr>
        <w:t>Ensure trainers are qualified and assessments are valid</w:t>
      </w:r>
    </w:p>
    <w:p w14:paraId="60370050" w14:textId="77777777" w:rsidR="00A325A3" w:rsidRPr="00667F82" w:rsidRDefault="00A325A3" w:rsidP="00A325A3">
      <w:pPr>
        <w:numPr>
          <w:ilvl w:val="0"/>
          <w:numId w:val="4"/>
        </w:numPr>
        <w:rPr>
          <w:rFonts w:cs="Calibri"/>
          <w:sz w:val="28"/>
          <w:szCs w:val="28"/>
        </w:rPr>
      </w:pPr>
      <w:r w:rsidRPr="00667F82">
        <w:rPr>
          <w:rFonts w:cs="Calibri"/>
          <w:sz w:val="28"/>
          <w:szCs w:val="28"/>
        </w:rPr>
        <w:t>Promote bilingual accessibility (English and Arabic)</w:t>
      </w:r>
    </w:p>
    <w:p w14:paraId="3913F925" w14:textId="77777777" w:rsidR="00A325A3" w:rsidRPr="00667F82" w:rsidRDefault="00A325A3" w:rsidP="00A325A3">
      <w:pPr>
        <w:numPr>
          <w:ilvl w:val="0"/>
          <w:numId w:val="4"/>
        </w:numPr>
        <w:rPr>
          <w:rFonts w:cs="Calibri"/>
          <w:sz w:val="28"/>
          <w:szCs w:val="28"/>
        </w:rPr>
      </w:pPr>
      <w:r w:rsidRPr="00667F82">
        <w:rPr>
          <w:rFonts w:cs="Calibri"/>
          <w:sz w:val="28"/>
          <w:szCs w:val="28"/>
        </w:rPr>
        <w:t>Support continuous improvement through feedback and evaluation</w:t>
      </w:r>
    </w:p>
    <w:p w14:paraId="4E49D27D" w14:textId="77777777" w:rsidR="00A325A3" w:rsidRPr="00667F82" w:rsidRDefault="00A325A3" w:rsidP="00A325A3">
      <w:pPr>
        <w:rPr>
          <w:rFonts w:cs="Calibri"/>
          <w:b/>
          <w:bCs/>
          <w:sz w:val="28"/>
          <w:szCs w:val="28"/>
        </w:rPr>
      </w:pPr>
      <w:r w:rsidRPr="00667F82">
        <w:rPr>
          <w:rFonts w:cs="Calibri"/>
          <w:b/>
          <w:bCs/>
          <w:sz w:val="28"/>
          <w:szCs w:val="28"/>
        </w:rPr>
        <w:lastRenderedPageBreak/>
        <w:t>5. Trainer Requirements</w:t>
      </w:r>
    </w:p>
    <w:p w14:paraId="00740550" w14:textId="23FD731D" w:rsidR="00A325A3" w:rsidRPr="00667F82" w:rsidRDefault="00A325A3" w:rsidP="00A325A3">
      <w:pPr>
        <w:pStyle w:val="ListParagraph"/>
        <w:numPr>
          <w:ilvl w:val="0"/>
          <w:numId w:val="4"/>
        </w:numPr>
        <w:rPr>
          <w:rFonts w:ascii="Calibri" w:hAnsi="Calibri" w:cs="Calibri"/>
          <w:sz w:val="28"/>
          <w:szCs w:val="28"/>
        </w:rPr>
      </w:pPr>
      <w:r w:rsidRPr="00667F82">
        <w:rPr>
          <w:rFonts w:ascii="Calibri" w:hAnsi="Calibri" w:cs="Calibri"/>
          <w:sz w:val="28"/>
          <w:szCs w:val="28"/>
        </w:rPr>
        <w:t>Must hold relevant qualifications and industry experience</w:t>
      </w:r>
    </w:p>
    <w:p w14:paraId="7DFC874E" w14:textId="26E70DC8" w:rsidR="00A325A3" w:rsidRPr="00667F82" w:rsidRDefault="00A325A3" w:rsidP="00A325A3">
      <w:pPr>
        <w:pStyle w:val="ListParagraph"/>
        <w:numPr>
          <w:ilvl w:val="0"/>
          <w:numId w:val="4"/>
        </w:numPr>
        <w:rPr>
          <w:rFonts w:ascii="Calibri" w:hAnsi="Calibri" w:cs="Calibri"/>
          <w:sz w:val="28"/>
          <w:szCs w:val="28"/>
        </w:rPr>
      </w:pPr>
      <w:r w:rsidRPr="00667F82">
        <w:rPr>
          <w:rFonts w:ascii="Calibri" w:hAnsi="Calibri" w:cs="Calibri"/>
          <w:sz w:val="28"/>
          <w:szCs w:val="28"/>
        </w:rPr>
        <w:t>Must complete internal induction and standardization</w:t>
      </w:r>
    </w:p>
    <w:p w14:paraId="5BDFB2D9" w14:textId="7577A915" w:rsidR="00A325A3" w:rsidRPr="00667F82" w:rsidRDefault="00A325A3" w:rsidP="00A325A3">
      <w:pPr>
        <w:pStyle w:val="ListParagraph"/>
        <w:numPr>
          <w:ilvl w:val="0"/>
          <w:numId w:val="4"/>
        </w:numPr>
        <w:rPr>
          <w:rFonts w:ascii="Calibri" w:hAnsi="Calibri" w:cs="Calibri"/>
          <w:sz w:val="28"/>
          <w:szCs w:val="28"/>
        </w:rPr>
      </w:pPr>
      <w:r w:rsidRPr="00667F82">
        <w:rPr>
          <w:rFonts w:ascii="Calibri" w:hAnsi="Calibri" w:cs="Calibri"/>
          <w:sz w:val="28"/>
          <w:szCs w:val="28"/>
        </w:rPr>
        <w:t>Must adhere to TQTI’s Code of Conduct and Assessment Policy</w:t>
      </w:r>
    </w:p>
    <w:p w14:paraId="638834CB" w14:textId="77777777" w:rsidR="00A325A3" w:rsidRPr="00667F82" w:rsidRDefault="00A325A3" w:rsidP="00A325A3">
      <w:pPr>
        <w:rPr>
          <w:rFonts w:cs="Calibri"/>
          <w:b/>
          <w:bCs/>
          <w:sz w:val="28"/>
          <w:szCs w:val="28"/>
        </w:rPr>
      </w:pPr>
      <w:r w:rsidRPr="00667F82">
        <w:rPr>
          <w:rFonts w:cs="Calibri"/>
          <w:b/>
          <w:bCs/>
          <w:sz w:val="28"/>
          <w:szCs w:val="28"/>
        </w:rPr>
        <w:t>6. Training Delivery Standards</w:t>
      </w:r>
    </w:p>
    <w:p w14:paraId="7B5E4D66" w14:textId="77777777" w:rsidR="00A325A3" w:rsidRPr="00667F82" w:rsidRDefault="00A325A3" w:rsidP="00A325A3">
      <w:pPr>
        <w:numPr>
          <w:ilvl w:val="0"/>
          <w:numId w:val="6"/>
        </w:numPr>
        <w:rPr>
          <w:rFonts w:cs="Calibri"/>
          <w:sz w:val="28"/>
          <w:szCs w:val="28"/>
        </w:rPr>
      </w:pPr>
      <w:r w:rsidRPr="00667F82">
        <w:rPr>
          <w:rFonts w:cs="Calibri"/>
          <w:sz w:val="28"/>
          <w:szCs w:val="28"/>
        </w:rPr>
        <w:t>Use approved curriculum and materials</w:t>
      </w:r>
    </w:p>
    <w:p w14:paraId="6BCC3358" w14:textId="77777777" w:rsidR="00A325A3" w:rsidRPr="00667F82" w:rsidRDefault="00A325A3" w:rsidP="00A325A3">
      <w:pPr>
        <w:numPr>
          <w:ilvl w:val="0"/>
          <w:numId w:val="6"/>
        </w:numPr>
        <w:rPr>
          <w:rFonts w:cs="Calibri"/>
          <w:sz w:val="28"/>
          <w:szCs w:val="28"/>
        </w:rPr>
      </w:pPr>
      <w:r w:rsidRPr="00667F82">
        <w:rPr>
          <w:rFonts w:cs="Calibri"/>
          <w:sz w:val="28"/>
          <w:szCs w:val="28"/>
        </w:rPr>
        <w:t>Apply varied teaching methods (e.g., practical, theoretical, blended)</w:t>
      </w:r>
    </w:p>
    <w:p w14:paraId="13DAA963" w14:textId="77777777" w:rsidR="00A325A3" w:rsidRPr="00667F82" w:rsidRDefault="00A325A3" w:rsidP="00A325A3">
      <w:pPr>
        <w:numPr>
          <w:ilvl w:val="0"/>
          <w:numId w:val="6"/>
        </w:numPr>
        <w:rPr>
          <w:rFonts w:cs="Calibri"/>
          <w:sz w:val="28"/>
          <w:szCs w:val="28"/>
        </w:rPr>
      </w:pPr>
      <w:r w:rsidRPr="00667F82">
        <w:rPr>
          <w:rFonts w:cs="Calibri"/>
          <w:sz w:val="28"/>
          <w:szCs w:val="28"/>
        </w:rPr>
        <w:t>Maintain accurate attendance and assessment records</w:t>
      </w:r>
    </w:p>
    <w:p w14:paraId="46A0FC87" w14:textId="677B4DFB" w:rsidR="00A325A3" w:rsidRPr="00667F82" w:rsidRDefault="00A325A3" w:rsidP="00A325A3">
      <w:pPr>
        <w:numPr>
          <w:ilvl w:val="0"/>
          <w:numId w:val="6"/>
        </w:numPr>
        <w:rPr>
          <w:rFonts w:cs="Calibri"/>
          <w:sz w:val="28"/>
          <w:szCs w:val="28"/>
        </w:rPr>
      </w:pPr>
      <w:r w:rsidRPr="00667F82">
        <w:rPr>
          <w:rFonts w:cs="Calibri"/>
          <w:sz w:val="28"/>
          <w:szCs w:val="28"/>
        </w:rPr>
        <w:t xml:space="preserve">Ensure cultural </w:t>
      </w:r>
      <w:r w:rsidR="000C7DBE">
        <w:rPr>
          <w:rFonts w:cs="Calibri"/>
          <w:sz w:val="28"/>
          <w:szCs w:val="28"/>
          <w:lang w:val="en-IN"/>
        </w:rPr>
        <w:t>diversity</w:t>
      </w:r>
      <w:r w:rsidRPr="00667F82">
        <w:rPr>
          <w:rFonts w:cs="Calibri"/>
          <w:sz w:val="28"/>
          <w:szCs w:val="28"/>
        </w:rPr>
        <w:t xml:space="preserve"> and inclusivity</w:t>
      </w:r>
    </w:p>
    <w:p w14:paraId="29049E69" w14:textId="77777777" w:rsidR="00A325A3" w:rsidRPr="00667F82" w:rsidRDefault="00A325A3" w:rsidP="00A325A3">
      <w:pPr>
        <w:rPr>
          <w:rFonts w:cs="Calibri"/>
          <w:b/>
          <w:bCs/>
          <w:sz w:val="28"/>
          <w:szCs w:val="28"/>
        </w:rPr>
      </w:pPr>
      <w:r w:rsidRPr="00667F82">
        <w:rPr>
          <w:rFonts w:cs="Calibri"/>
          <w:b/>
          <w:bCs/>
          <w:sz w:val="28"/>
          <w:szCs w:val="28"/>
        </w:rPr>
        <w:t>7. Assessment &amp; Evaluation</w:t>
      </w:r>
    </w:p>
    <w:p w14:paraId="1B8BB945" w14:textId="77777777" w:rsidR="00A325A3" w:rsidRPr="00667F82" w:rsidRDefault="00A325A3" w:rsidP="00A325A3">
      <w:pPr>
        <w:numPr>
          <w:ilvl w:val="0"/>
          <w:numId w:val="7"/>
        </w:numPr>
        <w:rPr>
          <w:rFonts w:cs="Calibri"/>
          <w:sz w:val="28"/>
          <w:szCs w:val="28"/>
        </w:rPr>
      </w:pPr>
      <w:r w:rsidRPr="00667F82">
        <w:rPr>
          <w:rFonts w:cs="Calibri"/>
          <w:sz w:val="28"/>
          <w:szCs w:val="28"/>
        </w:rPr>
        <w:t>Assessments must be fair, valid, and reliable</w:t>
      </w:r>
    </w:p>
    <w:p w14:paraId="5A4F4ED4" w14:textId="77777777" w:rsidR="00A325A3" w:rsidRPr="00667F82" w:rsidRDefault="00A325A3" w:rsidP="00A325A3">
      <w:pPr>
        <w:numPr>
          <w:ilvl w:val="0"/>
          <w:numId w:val="7"/>
        </w:numPr>
        <w:rPr>
          <w:rFonts w:cs="Calibri"/>
          <w:sz w:val="28"/>
          <w:szCs w:val="28"/>
        </w:rPr>
      </w:pPr>
      <w:r w:rsidRPr="00667F82">
        <w:rPr>
          <w:rFonts w:cs="Calibri"/>
          <w:sz w:val="28"/>
          <w:szCs w:val="28"/>
        </w:rPr>
        <w:t>IQA sampling will be conducted for both short and long courses</w:t>
      </w:r>
    </w:p>
    <w:p w14:paraId="2F8FEEC9" w14:textId="77777777" w:rsidR="00A325A3" w:rsidRPr="00667F82" w:rsidRDefault="00A325A3" w:rsidP="00A325A3">
      <w:pPr>
        <w:numPr>
          <w:ilvl w:val="0"/>
          <w:numId w:val="7"/>
        </w:numPr>
        <w:rPr>
          <w:rFonts w:cs="Calibri"/>
          <w:sz w:val="28"/>
          <w:szCs w:val="28"/>
        </w:rPr>
      </w:pPr>
      <w:r w:rsidRPr="00667F82">
        <w:rPr>
          <w:rFonts w:cs="Calibri"/>
          <w:sz w:val="28"/>
          <w:szCs w:val="28"/>
        </w:rPr>
        <w:t>Learner feedback will be collected and reviewed after each course</w:t>
      </w:r>
    </w:p>
    <w:p w14:paraId="3FC871B5" w14:textId="77777777" w:rsidR="00A325A3" w:rsidRPr="00667F82" w:rsidRDefault="00A325A3" w:rsidP="00A325A3">
      <w:pPr>
        <w:rPr>
          <w:rFonts w:cs="Calibri"/>
          <w:b/>
          <w:bCs/>
          <w:sz w:val="28"/>
          <w:szCs w:val="28"/>
        </w:rPr>
      </w:pPr>
      <w:r w:rsidRPr="00667F82">
        <w:rPr>
          <w:rFonts w:cs="Calibri"/>
          <w:b/>
          <w:bCs/>
          <w:sz w:val="28"/>
          <w:szCs w:val="28"/>
        </w:rPr>
        <w:t>8. Monitoring &amp; Review</w:t>
      </w:r>
    </w:p>
    <w:p w14:paraId="07BEFAAF" w14:textId="2BA00965" w:rsidR="00A325A3" w:rsidRPr="00667F82" w:rsidRDefault="00A325A3" w:rsidP="00A325A3">
      <w:pPr>
        <w:numPr>
          <w:ilvl w:val="0"/>
          <w:numId w:val="8"/>
        </w:numPr>
        <w:rPr>
          <w:rFonts w:cs="Calibri"/>
          <w:sz w:val="28"/>
          <w:szCs w:val="28"/>
        </w:rPr>
      </w:pPr>
      <w:r w:rsidRPr="00667F82">
        <w:rPr>
          <w:rFonts w:cs="Calibri"/>
          <w:sz w:val="28"/>
          <w:szCs w:val="28"/>
        </w:rPr>
        <w:t>Training delivery will be monitored by the IQA staff</w:t>
      </w:r>
    </w:p>
    <w:p w14:paraId="44A3BB74" w14:textId="4DE2937D" w:rsidR="00A325A3" w:rsidRPr="00667F82" w:rsidRDefault="00A325A3" w:rsidP="00A325A3">
      <w:pPr>
        <w:numPr>
          <w:ilvl w:val="0"/>
          <w:numId w:val="8"/>
        </w:numPr>
        <w:rPr>
          <w:rFonts w:cs="Calibri"/>
          <w:sz w:val="28"/>
          <w:szCs w:val="28"/>
        </w:rPr>
      </w:pPr>
      <w:r w:rsidRPr="00667F82">
        <w:rPr>
          <w:rFonts w:cs="Calibri"/>
          <w:sz w:val="28"/>
          <w:szCs w:val="28"/>
        </w:rPr>
        <w:t>Trainers will be evaluated using the Appraisal Form</w:t>
      </w:r>
    </w:p>
    <w:p w14:paraId="585B2D9A" w14:textId="1AE5F01D" w:rsidR="00A325A3" w:rsidRPr="00667F82" w:rsidRDefault="00A325A3" w:rsidP="00A325A3">
      <w:pPr>
        <w:numPr>
          <w:ilvl w:val="0"/>
          <w:numId w:val="8"/>
        </w:numPr>
        <w:rPr>
          <w:rFonts w:cs="Calibri"/>
          <w:sz w:val="28"/>
          <w:szCs w:val="28"/>
        </w:rPr>
      </w:pPr>
      <w:r w:rsidRPr="00667F82">
        <w:rPr>
          <w:rFonts w:cs="Calibri"/>
          <w:sz w:val="28"/>
          <w:szCs w:val="28"/>
        </w:rPr>
        <w:t xml:space="preserve">Policy will be reviewed annually or as required </w:t>
      </w:r>
    </w:p>
    <w:p w14:paraId="05E1D042" w14:textId="77777777" w:rsidR="00B07806" w:rsidRPr="00667F82" w:rsidRDefault="00B07806" w:rsidP="00A325A3">
      <w:pPr>
        <w:rPr>
          <w:rFonts w:cs="Calibri"/>
          <w:b/>
          <w:bCs/>
          <w:sz w:val="28"/>
          <w:szCs w:val="28"/>
        </w:rPr>
      </w:pPr>
    </w:p>
    <w:p w14:paraId="4F54B8F0" w14:textId="77777777" w:rsidR="00B07806" w:rsidRDefault="00B07806" w:rsidP="00A325A3">
      <w:pPr>
        <w:rPr>
          <w:rFonts w:cs="Calibri"/>
          <w:b/>
          <w:bCs/>
          <w:sz w:val="28"/>
          <w:szCs w:val="28"/>
        </w:rPr>
      </w:pPr>
    </w:p>
    <w:p w14:paraId="2DD7B53B" w14:textId="77777777" w:rsidR="00A62F55" w:rsidRDefault="00A62F55" w:rsidP="00A325A3">
      <w:pPr>
        <w:rPr>
          <w:rFonts w:cs="Calibri"/>
          <w:b/>
          <w:bCs/>
          <w:sz w:val="28"/>
          <w:szCs w:val="28"/>
        </w:rPr>
      </w:pPr>
    </w:p>
    <w:p w14:paraId="72A48B77" w14:textId="77777777" w:rsidR="00A62F55" w:rsidRPr="00667F82" w:rsidRDefault="00A62F55" w:rsidP="00A325A3">
      <w:pPr>
        <w:rPr>
          <w:rFonts w:cs="Calibri"/>
          <w:b/>
          <w:bCs/>
          <w:sz w:val="28"/>
          <w:szCs w:val="28"/>
        </w:rPr>
      </w:pPr>
    </w:p>
    <w:p w14:paraId="566057E8" w14:textId="77777777" w:rsidR="00B07806" w:rsidRPr="00667F82" w:rsidRDefault="00B07806" w:rsidP="00A325A3">
      <w:pPr>
        <w:rPr>
          <w:rFonts w:cs="Calibri"/>
          <w:b/>
          <w:bCs/>
          <w:sz w:val="28"/>
          <w:szCs w:val="28"/>
        </w:rPr>
      </w:pPr>
    </w:p>
    <w:p w14:paraId="24B77D06" w14:textId="00479D0B" w:rsidR="00A325A3" w:rsidRPr="00667F82" w:rsidRDefault="003E3BD9" w:rsidP="00A325A3">
      <w:pPr>
        <w:rPr>
          <w:rFonts w:cs="Calibri"/>
          <w:sz w:val="28"/>
          <w:szCs w:val="28"/>
        </w:rPr>
      </w:pPr>
      <w:r w:rsidRPr="00667F82">
        <w:rPr>
          <w:rFonts w:cs="Calibri"/>
          <w:b/>
          <w:bCs/>
          <w:sz w:val="28"/>
          <w:szCs w:val="28"/>
        </w:rPr>
        <w:lastRenderedPageBreak/>
        <w:t>9.</w:t>
      </w:r>
      <w:r w:rsidRPr="00667F82">
        <w:rPr>
          <w:rFonts w:cs="Calibri"/>
          <w:sz w:val="28"/>
          <w:szCs w:val="28"/>
        </w:rPr>
        <w:t xml:space="preserve"> </w:t>
      </w:r>
      <w:r w:rsidRPr="00667F82">
        <w:rPr>
          <w:rFonts w:cs="Calibri"/>
          <w:b/>
          <w:bCs/>
          <w:sz w:val="28"/>
          <w:szCs w:val="28"/>
        </w:rPr>
        <w:t>Roles &amp; Responsibilities</w:t>
      </w:r>
    </w:p>
    <w:tbl>
      <w:tblPr>
        <w:tblStyle w:val="TableGrid"/>
        <w:tblW w:w="0" w:type="auto"/>
        <w:tblLook w:val="04A0" w:firstRow="1" w:lastRow="0" w:firstColumn="1" w:lastColumn="0" w:noHBand="0" w:noVBand="1"/>
      </w:tblPr>
      <w:tblGrid>
        <w:gridCol w:w="4675"/>
        <w:gridCol w:w="4675"/>
      </w:tblGrid>
      <w:tr w:rsidR="00B07806" w:rsidRPr="00667F82" w14:paraId="7FE784A0" w14:textId="77777777" w:rsidTr="00B07806">
        <w:tc>
          <w:tcPr>
            <w:tcW w:w="4675" w:type="dxa"/>
          </w:tcPr>
          <w:p w14:paraId="3C2F54BF" w14:textId="6D67C720" w:rsidR="00B07806" w:rsidRPr="00667F82" w:rsidRDefault="00B07806" w:rsidP="0062103D">
            <w:pPr>
              <w:rPr>
                <w:rFonts w:cs="Calibri"/>
                <w:b/>
                <w:bCs/>
                <w:sz w:val="28"/>
                <w:szCs w:val="28"/>
                <w:lang w:val="en-GB"/>
              </w:rPr>
            </w:pPr>
            <w:r w:rsidRPr="00667F82">
              <w:rPr>
                <w:rFonts w:cs="Calibri"/>
                <w:b/>
                <w:bCs/>
                <w:sz w:val="28"/>
                <w:szCs w:val="28"/>
                <w:lang w:val="en-GB"/>
              </w:rPr>
              <w:t>Role</w:t>
            </w:r>
          </w:p>
        </w:tc>
        <w:tc>
          <w:tcPr>
            <w:tcW w:w="4675" w:type="dxa"/>
          </w:tcPr>
          <w:p w14:paraId="7ED30158" w14:textId="0CE9FB6E" w:rsidR="00B07806" w:rsidRPr="00667F82" w:rsidRDefault="00B07806" w:rsidP="0062103D">
            <w:pPr>
              <w:rPr>
                <w:rFonts w:cs="Calibri"/>
                <w:b/>
                <w:bCs/>
                <w:sz w:val="28"/>
                <w:szCs w:val="28"/>
                <w:lang w:val="en-GB"/>
              </w:rPr>
            </w:pPr>
            <w:r w:rsidRPr="00667F82">
              <w:rPr>
                <w:rFonts w:cs="Calibri"/>
                <w:b/>
                <w:bCs/>
                <w:sz w:val="28"/>
                <w:szCs w:val="28"/>
                <w:lang w:val="en-GB"/>
              </w:rPr>
              <w:t>Responsibility</w:t>
            </w:r>
          </w:p>
        </w:tc>
      </w:tr>
      <w:tr w:rsidR="00B07806" w:rsidRPr="00667F82" w14:paraId="1D8EF02F" w14:textId="77777777" w:rsidTr="00B07806">
        <w:tc>
          <w:tcPr>
            <w:tcW w:w="4675" w:type="dxa"/>
          </w:tcPr>
          <w:p w14:paraId="6FD7F179" w14:textId="708033A2" w:rsidR="00B07806" w:rsidRPr="00667F82" w:rsidRDefault="00B07806" w:rsidP="0062103D">
            <w:pPr>
              <w:rPr>
                <w:rFonts w:cs="Calibri"/>
                <w:sz w:val="28"/>
                <w:szCs w:val="28"/>
                <w:lang w:val="en-GB"/>
              </w:rPr>
            </w:pPr>
            <w:r w:rsidRPr="00667F82">
              <w:rPr>
                <w:rFonts w:cs="Calibri"/>
                <w:sz w:val="28"/>
                <w:szCs w:val="28"/>
                <w:lang w:val="en-GB"/>
              </w:rPr>
              <w:t>Manager</w:t>
            </w:r>
          </w:p>
        </w:tc>
        <w:tc>
          <w:tcPr>
            <w:tcW w:w="4675" w:type="dxa"/>
          </w:tcPr>
          <w:p w14:paraId="4A5798D5" w14:textId="271B7D67" w:rsidR="00B07806" w:rsidRPr="00667F82" w:rsidRDefault="00B07806" w:rsidP="0062103D">
            <w:pPr>
              <w:rPr>
                <w:rFonts w:cs="Calibri"/>
                <w:sz w:val="28"/>
                <w:szCs w:val="28"/>
                <w:lang w:val="en-GB"/>
              </w:rPr>
            </w:pPr>
            <w:r w:rsidRPr="00667F82">
              <w:rPr>
                <w:rFonts w:cs="Calibri"/>
                <w:sz w:val="28"/>
                <w:szCs w:val="28"/>
                <w:lang w:val="en-GB"/>
              </w:rPr>
              <w:t>Oversight of planning, delivery, compliance and monitor quality</w:t>
            </w:r>
          </w:p>
        </w:tc>
      </w:tr>
      <w:tr w:rsidR="00B07806" w:rsidRPr="00667F82" w14:paraId="37156A6A" w14:textId="77777777" w:rsidTr="00B07806">
        <w:tc>
          <w:tcPr>
            <w:tcW w:w="4675" w:type="dxa"/>
          </w:tcPr>
          <w:p w14:paraId="0FA0F586" w14:textId="798D05BA" w:rsidR="00B07806" w:rsidRPr="00667F82" w:rsidRDefault="00B07806" w:rsidP="0062103D">
            <w:pPr>
              <w:rPr>
                <w:rFonts w:cs="Calibri"/>
                <w:sz w:val="28"/>
                <w:szCs w:val="28"/>
                <w:lang w:val="en-GB"/>
              </w:rPr>
            </w:pPr>
            <w:r w:rsidRPr="00667F82">
              <w:rPr>
                <w:rFonts w:cs="Calibri"/>
                <w:sz w:val="28"/>
                <w:szCs w:val="28"/>
                <w:lang w:val="en-GB"/>
              </w:rPr>
              <w:t>Trainer</w:t>
            </w:r>
          </w:p>
        </w:tc>
        <w:tc>
          <w:tcPr>
            <w:tcW w:w="4675" w:type="dxa"/>
          </w:tcPr>
          <w:p w14:paraId="2CF7BCDE" w14:textId="5A4539DC" w:rsidR="00B07806" w:rsidRPr="00667F82" w:rsidRDefault="00B07806" w:rsidP="0062103D">
            <w:pPr>
              <w:rPr>
                <w:rFonts w:cs="Calibri"/>
                <w:sz w:val="28"/>
                <w:szCs w:val="28"/>
                <w:lang w:val="en-GB"/>
              </w:rPr>
            </w:pPr>
            <w:r w:rsidRPr="00667F82">
              <w:rPr>
                <w:rFonts w:cs="Calibri"/>
                <w:sz w:val="28"/>
                <w:szCs w:val="28"/>
                <w:lang w:val="en-GB"/>
              </w:rPr>
              <w:t>Deliver training and maintain records</w:t>
            </w:r>
          </w:p>
        </w:tc>
      </w:tr>
      <w:tr w:rsidR="00B07806" w:rsidRPr="00667F82" w14:paraId="4284A7D7" w14:textId="77777777" w:rsidTr="00B07806">
        <w:tc>
          <w:tcPr>
            <w:tcW w:w="4675" w:type="dxa"/>
          </w:tcPr>
          <w:p w14:paraId="4BA02F36" w14:textId="51486BD7" w:rsidR="00B07806" w:rsidRPr="00667F82" w:rsidRDefault="00B07806" w:rsidP="0062103D">
            <w:pPr>
              <w:rPr>
                <w:rFonts w:cs="Calibri"/>
                <w:sz w:val="28"/>
                <w:szCs w:val="28"/>
                <w:lang w:val="en-GB"/>
              </w:rPr>
            </w:pPr>
            <w:r w:rsidRPr="00667F82">
              <w:rPr>
                <w:rFonts w:cs="Calibri"/>
                <w:sz w:val="28"/>
                <w:szCs w:val="28"/>
                <w:lang w:val="en-GB"/>
              </w:rPr>
              <w:t>Admin Staff</w:t>
            </w:r>
          </w:p>
        </w:tc>
        <w:tc>
          <w:tcPr>
            <w:tcW w:w="4675" w:type="dxa"/>
          </w:tcPr>
          <w:p w14:paraId="5B400820" w14:textId="4EB04542" w:rsidR="00B07806" w:rsidRPr="00667F82" w:rsidRDefault="00B07806" w:rsidP="0062103D">
            <w:pPr>
              <w:rPr>
                <w:rFonts w:cs="Calibri"/>
                <w:sz w:val="28"/>
                <w:szCs w:val="28"/>
                <w:lang w:val="en-GB"/>
              </w:rPr>
            </w:pPr>
            <w:r w:rsidRPr="00667F82">
              <w:rPr>
                <w:rFonts w:cs="Calibri"/>
                <w:sz w:val="28"/>
                <w:szCs w:val="28"/>
                <w:lang w:val="en-GB"/>
              </w:rPr>
              <w:t>Support logistics and documentation</w:t>
            </w:r>
          </w:p>
        </w:tc>
      </w:tr>
    </w:tbl>
    <w:p w14:paraId="69D1336C" w14:textId="77777777" w:rsidR="008A4091" w:rsidRPr="00667F82" w:rsidRDefault="008A4091" w:rsidP="008A4091">
      <w:pPr>
        <w:rPr>
          <w:rFonts w:cs="Calibri"/>
          <w:b/>
          <w:bCs/>
          <w:sz w:val="28"/>
          <w:szCs w:val="28"/>
        </w:rPr>
      </w:pPr>
    </w:p>
    <w:p w14:paraId="0B9C212B" w14:textId="04EC25C8" w:rsidR="008A4091" w:rsidRPr="00667F82" w:rsidRDefault="008A4091" w:rsidP="008A4091">
      <w:pPr>
        <w:rPr>
          <w:rFonts w:cs="Calibri"/>
          <w:b/>
          <w:bCs/>
          <w:sz w:val="28"/>
          <w:szCs w:val="28"/>
        </w:rPr>
      </w:pPr>
      <w:r w:rsidRPr="00667F82">
        <w:rPr>
          <w:rFonts w:cs="Calibri"/>
          <w:b/>
          <w:bCs/>
          <w:sz w:val="28"/>
          <w:szCs w:val="28"/>
        </w:rPr>
        <w:t>10. Learner Induction</w:t>
      </w:r>
    </w:p>
    <w:p w14:paraId="7FB137AC" w14:textId="449298DA" w:rsidR="008A4091" w:rsidRPr="00667F82" w:rsidRDefault="008A4091" w:rsidP="008A4091">
      <w:pPr>
        <w:rPr>
          <w:rFonts w:cs="Calibri"/>
          <w:sz w:val="28"/>
          <w:szCs w:val="28"/>
        </w:rPr>
      </w:pPr>
      <w:r w:rsidRPr="00667F82">
        <w:rPr>
          <w:rFonts w:cs="Calibri"/>
          <w:sz w:val="28"/>
          <w:szCs w:val="28"/>
        </w:rPr>
        <w:t>All learners shall understand a structured induction process prior to the beginning of training. This includes orientation on institute policies, health and safety procedures, training objectives, and available support services.</w:t>
      </w:r>
    </w:p>
    <w:p w14:paraId="4CB1C582" w14:textId="05DC3E3E" w:rsidR="008A4091" w:rsidRPr="00667F82" w:rsidRDefault="008A4091" w:rsidP="008A4091">
      <w:pPr>
        <w:numPr>
          <w:ilvl w:val="0"/>
          <w:numId w:val="9"/>
        </w:numPr>
        <w:rPr>
          <w:rFonts w:cs="Calibri"/>
          <w:sz w:val="28"/>
          <w:szCs w:val="28"/>
        </w:rPr>
      </w:pPr>
      <w:r w:rsidRPr="00667F82">
        <w:rPr>
          <w:rFonts w:cs="Calibri"/>
          <w:b/>
          <w:bCs/>
          <w:sz w:val="28"/>
          <w:szCs w:val="28"/>
        </w:rPr>
        <w:t>Induction Form</w:t>
      </w:r>
      <w:r w:rsidRPr="00667F82">
        <w:rPr>
          <w:rFonts w:cs="Calibri"/>
          <w:sz w:val="28"/>
          <w:szCs w:val="28"/>
        </w:rPr>
        <w:t xml:space="preserve">: </w:t>
      </w:r>
      <w:r w:rsidR="0037608F">
        <w:rPr>
          <w:rFonts w:cs="Calibri"/>
          <w:sz w:val="28"/>
          <w:szCs w:val="28"/>
        </w:rPr>
        <w:t>For long term courses, e</w:t>
      </w:r>
      <w:r w:rsidRPr="00667F82">
        <w:rPr>
          <w:rFonts w:cs="Calibri"/>
          <w:sz w:val="28"/>
          <w:szCs w:val="28"/>
        </w:rPr>
        <w:t>ach learner must complete and sign the Learner Induction Form to confirm understanding and participation.</w:t>
      </w:r>
    </w:p>
    <w:p w14:paraId="5AF2E82A" w14:textId="77777777" w:rsidR="008A4091" w:rsidRPr="00667F82" w:rsidRDefault="008A4091" w:rsidP="008A4091">
      <w:pPr>
        <w:numPr>
          <w:ilvl w:val="0"/>
          <w:numId w:val="9"/>
        </w:numPr>
        <w:rPr>
          <w:rFonts w:cs="Calibri"/>
          <w:sz w:val="28"/>
          <w:szCs w:val="28"/>
        </w:rPr>
      </w:pPr>
      <w:r w:rsidRPr="00667F82">
        <w:rPr>
          <w:rFonts w:cs="Calibri"/>
          <w:b/>
          <w:bCs/>
          <w:sz w:val="28"/>
          <w:szCs w:val="28"/>
        </w:rPr>
        <w:t>Record Keeping</w:t>
      </w:r>
      <w:r w:rsidRPr="00667F82">
        <w:rPr>
          <w:rFonts w:cs="Calibri"/>
          <w:sz w:val="28"/>
          <w:szCs w:val="28"/>
        </w:rPr>
        <w:t>: Completed forms shall be retained in the learner’s training file and reviewed during internal audits.</w:t>
      </w:r>
    </w:p>
    <w:p w14:paraId="33C1683A" w14:textId="1C21E9B1" w:rsidR="008A4091" w:rsidRPr="00667F82" w:rsidRDefault="008A4091" w:rsidP="008A4091">
      <w:pPr>
        <w:rPr>
          <w:rFonts w:cs="Calibri"/>
          <w:b/>
          <w:bCs/>
          <w:sz w:val="28"/>
          <w:szCs w:val="28"/>
        </w:rPr>
      </w:pPr>
      <w:r w:rsidRPr="00667F82">
        <w:rPr>
          <w:rFonts w:cs="Calibri"/>
          <w:b/>
          <w:bCs/>
          <w:sz w:val="28"/>
          <w:szCs w:val="28"/>
        </w:rPr>
        <w:t>11. Learner Guidance &amp; Support</w:t>
      </w:r>
    </w:p>
    <w:p w14:paraId="1DC8522A" w14:textId="77777777" w:rsidR="008A4091" w:rsidRPr="00667F82" w:rsidRDefault="008A4091" w:rsidP="008A4091">
      <w:pPr>
        <w:rPr>
          <w:rFonts w:cs="Calibri"/>
          <w:sz w:val="28"/>
          <w:szCs w:val="28"/>
        </w:rPr>
      </w:pPr>
      <w:r w:rsidRPr="00667F82">
        <w:rPr>
          <w:rFonts w:cs="Calibri"/>
          <w:sz w:val="28"/>
          <w:szCs w:val="28"/>
        </w:rPr>
        <w:t>The institute is committed to providing continuous guidance and support to all learners throughout their training journey.</w:t>
      </w:r>
    </w:p>
    <w:p w14:paraId="2904C79D" w14:textId="77777777" w:rsidR="008A4091" w:rsidRDefault="008A4091" w:rsidP="008A4091">
      <w:pPr>
        <w:numPr>
          <w:ilvl w:val="0"/>
          <w:numId w:val="10"/>
        </w:numPr>
        <w:rPr>
          <w:rFonts w:cs="Calibri"/>
          <w:sz w:val="28"/>
          <w:szCs w:val="28"/>
        </w:rPr>
      </w:pPr>
      <w:r w:rsidRPr="00667F82">
        <w:rPr>
          <w:rFonts w:cs="Calibri"/>
          <w:b/>
          <w:bCs/>
          <w:sz w:val="28"/>
          <w:szCs w:val="28"/>
        </w:rPr>
        <w:t>Access to Trainers and Coordinators</w:t>
      </w:r>
      <w:r w:rsidRPr="00667F82">
        <w:rPr>
          <w:rFonts w:cs="Calibri"/>
          <w:sz w:val="28"/>
          <w:szCs w:val="28"/>
        </w:rPr>
        <w:t>: Learners may seek academic or administrative support from assigned trainers or training coordinators.</w:t>
      </w:r>
    </w:p>
    <w:p w14:paraId="5E736CAC" w14:textId="77777777" w:rsidR="00617E1B" w:rsidRPr="00617E1B" w:rsidRDefault="00617E1B" w:rsidP="00617E1B">
      <w:pPr>
        <w:pStyle w:val="NormalWeb"/>
        <w:numPr>
          <w:ilvl w:val="0"/>
          <w:numId w:val="10"/>
        </w:numPr>
        <w:rPr>
          <w:rFonts w:ascii="Calibri" w:hAnsi="Calibri" w:cs="Calibri"/>
        </w:rPr>
      </w:pPr>
      <w:r w:rsidRPr="00617E1B">
        <w:rPr>
          <w:rFonts w:ascii="Calibri" w:hAnsi="Calibri" w:cs="Calibri"/>
          <w:b/>
          <w:bCs/>
          <w:sz w:val="28"/>
          <w:szCs w:val="28"/>
        </w:rPr>
        <w:t>Learners with Special Needs:</w:t>
      </w:r>
      <w:r>
        <w:br/>
      </w:r>
      <w:r w:rsidRPr="00617E1B">
        <w:rPr>
          <w:rFonts w:ascii="Calibri" w:hAnsi="Calibri" w:cs="Calibri"/>
        </w:rPr>
        <w:t>Each training session will include a minimum of 30 additional minutes to accommodate trainees requiring special care. Furthermore, individualized tutoring will be provided for at least 30 minutes to support their learning needs.</w:t>
      </w:r>
    </w:p>
    <w:p w14:paraId="0CECC020" w14:textId="77777777" w:rsidR="008A4091" w:rsidRPr="00667F82" w:rsidRDefault="008A4091" w:rsidP="008A4091">
      <w:pPr>
        <w:numPr>
          <w:ilvl w:val="0"/>
          <w:numId w:val="10"/>
        </w:numPr>
        <w:rPr>
          <w:rFonts w:cs="Calibri"/>
          <w:sz w:val="28"/>
          <w:szCs w:val="28"/>
        </w:rPr>
      </w:pPr>
      <w:r w:rsidRPr="00667F82">
        <w:rPr>
          <w:rFonts w:cs="Calibri"/>
          <w:b/>
          <w:bCs/>
          <w:sz w:val="28"/>
          <w:szCs w:val="28"/>
        </w:rPr>
        <w:lastRenderedPageBreak/>
        <w:t>Monitoring</w:t>
      </w:r>
      <w:r w:rsidRPr="00667F82">
        <w:rPr>
          <w:rFonts w:cs="Calibri"/>
          <w:sz w:val="28"/>
          <w:szCs w:val="28"/>
        </w:rPr>
        <w:t>: Learner progress and concerns shall be monitored and documented to ensure timely intervention and support.</w:t>
      </w:r>
    </w:p>
    <w:p w14:paraId="4FECFC3A" w14:textId="77777777" w:rsidR="009A5463" w:rsidRPr="00667F82" w:rsidRDefault="009A5463" w:rsidP="008A4091">
      <w:pPr>
        <w:rPr>
          <w:rFonts w:cs="Calibri"/>
          <w:b/>
          <w:bCs/>
          <w:sz w:val="28"/>
          <w:szCs w:val="28"/>
        </w:rPr>
      </w:pPr>
    </w:p>
    <w:p w14:paraId="7193543A" w14:textId="2A77C5D3" w:rsidR="008A4091" w:rsidRPr="00667F82" w:rsidRDefault="008A4091" w:rsidP="008A4091">
      <w:pPr>
        <w:rPr>
          <w:rFonts w:cs="Calibri"/>
          <w:b/>
          <w:bCs/>
          <w:sz w:val="28"/>
          <w:szCs w:val="28"/>
        </w:rPr>
      </w:pPr>
      <w:r w:rsidRPr="00667F82">
        <w:rPr>
          <w:rFonts w:cs="Calibri"/>
          <w:b/>
          <w:bCs/>
          <w:sz w:val="28"/>
          <w:szCs w:val="28"/>
        </w:rPr>
        <w:t>12. Customer Satisfaction &amp; Feedback</w:t>
      </w:r>
    </w:p>
    <w:p w14:paraId="3C1335A6" w14:textId="3E1C9EE1" w:rsidR="008A4091" w:rsidRPr="00667F82" w:rsidRDefault="008A4091" w:rsidP="008A4091">
      <w:pPr>
        <w:rPr>
          <w:rFonts w:cs="Calibri"/>
          <w:sz w:val="28"/>
          <w:szCs w:val="28"/>
        </w:rPr>
      </w:pPr>
      <w:r w:rsidRPr="00667F82">
        <w:rPr>
          <w:rFonts w:cs="Calibri"/>
          <w:sz w:val="28"/>
          <w:szCs w:val="28"/>
        </w:rPr>
        <w:t xml:space="preserve">To </w:t>
      </w:r>
      <w:r w:rsidR="00C62DB0" w:rsidRPr="00667F82">
        <w:rPr>
          <w:rFonts w:cs="Calibri"/>
          <w:sz w:val="28"/>
          <w:szCs w:val="28"/>
        </w:rPr>
        <w:t>support</w:t>
      </w:r>
      <w:r w:rsidRPr="00667F82">
        <w:rPr>
          <w:rFonts w:cs="Calibri"/>
          <w:sz w:val="28"/>
          <w:szCs w:val="28"/>
        </w:rPr>
        <w:t xml:space="preserve"> quality and continuous improvement, the institute actively gathers and reviews feedback from learners.</w:t>
      </w:r>
    </w:p>
    <w:p w14:paraId="47FDEF74" w14:textId="77777777" w:rsidR="008A4091" w:rsidRPr="00667F82" w:rsidRDefault="008A4091" w:rsidP="008A4091">
      <w:pPr>
        <w:numPr>
          <w:ilvl w:val="0"/>
          <w:numId w:val="11"/>
        </w:numPr>
        <w:rPr>
          <w:rFonts w:cs="Calibri"/>
          <w:sz w:val="28"/>
          <w:szCs w:val="28"/>
        </w:rPr>
      </w:pPr>
      <w:r w:rsidRPr="00667F82">
        <w:rPr>
          <w:rFonts w:cs="Calibri"/>
          <w:b/>
          <w:bCs/>
          <w:sz w:val="28"/>
          <w:szCs w:val="28"/>
        </w:rPr>
        <w:t>Candidate Feedback Form</w:t>
      </w:r>
      <w:r w:rsidRPr="00667F82">
        <w:rPr>
          <w:rFonts w:cs="Calibri"/>
          <w:sz w:val="28"/>
          <w:szCs w:val="28"/>
        </w:rPr>
        <w:t>: All learners are encouraged to complete the Candidate Feedback Form at the end of their training program.</w:t>
      </w:r>
    </w:p>
    <w:p w14:paraId="73D82049" w14:textId="77777777" w:rsidR="008A4091" w:rsidRPr="00667F82" w:rsidRDefault="008A4091" w:rsidP="008A4091">
      <w:pPr>
        <w:numPr>
          <w:ilvl w:val="0"/>
          <w:numId w:val="11"/>
        </w:numPr>
        <w:rPr>
          <w:rFonts w:cs="Calibri"/>
          <w:sz w:val="28"/>
          <w:szCs w:val="28"/>
        </w:rPr>
      </w:pPr>
      <w:r w:rsidRPr="00667F82">
        <w:rPr>
          <w:rFonts w:cs="Calibri"/>
          <w:b/>
          <w:bCs/>
          <w:sz w:val="28"/>
          <w:szCs w:val="28"/>
        </w:rPr>
        <w:t>Suggestion Box</w:t>
      </w:r>
      <w:r w:rsidRPr="00667F82">
        <w:rPr>
          <w:rFonts w:cs="Calibri"/>
          <w:sz w:val="28"/>
          <w:szCs w:val="28"/>
        </w:rPr>
        <w:t>: A Suggestion Box is available at the reception area for anonymous input, comments, or improvement ideas.</w:t>
      </w:r>
    </w:p>
    <w:p w14:paraId="455B86FB" w14:textId="77777777" w:rsidR="008A4091" w:rsidRPr="00667F82" w:rsidRDefault="008A4091" w:rsidP="008A4091">
      <w:pPr>
        <w:numPr>
          <w:ilvl w:val="0"/>
          <w:numId w:val="11"/>
        </w:numPr>
        <w:rPr>
          <w:rFonts w:cs="Calibri"/>
          <w:sz w:val="28"/>
          <w:szCs w:val="28"/>
        </w:rPr>
      </w:pPr>
      <w:r w:rsidRPr="00667F82">
        <w:rPr>
          <w:rFonts w:cs="Calibri"/>
          <w:b/>
          <w:bCs/>
          <w:sz w:val="28"/>
          <w:szCs w:val="28"/>
        </w:rPr>
        <w:t>Review Process</w:t>
      </w:r>
      <w:r w:rsidRPr="00667F82">
        <w:rPr>
          <w:rFonts w:cs="Calibri"/>
          <w:sz w:val="28"/>
          <w:szCs w:val="28"/>
        </w:rPr>
        <w:t>: Feedback is reviewed monthly by the Quality Assurance team and used to inform corrective actions and service enhancements.</w:t>
      </w:r>
    </w:p>
    <w:p w14:paraId="022A99EC" w14:textId="6071B830" w:rsidR="003C2736" w:rsidRPr="009B0C71" w:rsidRDefault="003C2736" w:rsidP="003C2736">
      <w:pPr>
        <w:ind w:left="360"/>
        <w:rPr>
          <w:rFonts w:cs="Calibri"/>
          <w:sz w:val="28"/>
          <w:szCs w:val="28"/>
        </w:rPr>
      </w:pPr>
      <w:r w:rsidRPr="009B0C71">
        <w:rPr>
          <w:rFonts w:cs="Calibri"/>
          <w:sz w:val="28"/>
          <w:szCs w:val="28"/>
        </w:rPr>
        <w:t>This policy is shared with all relevant stakeholders and serves as an essential reference for training within the institute. It will be reviewed periodically to ensure relevance and compliance with evolving legal and institutional standards.</w:t>
      </w:r>
    </w:p>
    <w:p w14:paraId="687C11E2" w14:textId="77777777" w:rsidR="00B07806" w:rsidRDefault="00B07806" w:rsidP="0062103D">
      <w:pPr>
        <w:rPr>
          <w:rFonts w:cs="Calibri"/>
          <w:sz w:val="28"/>
          <w:szCs w:val="28"/>
          <w:lang w:val="en-GB"/>
        </w:rPr>
      </w:pPr>
    </w:p>
    <w:p w14:paraId="51C1BDB0" w14:textId="47C75882" w:rsidR="00667F82" w:rsidRDefault="00735B84" w:rsidP="00735B84">
      <w:pPr>
        <w:tabs>
          <w:tab w:val="left" w:pos="7050"/>
        </w:tabs>
        <w:rPr>
          <w:rFonts w:cs="Calibri"/>
          <w:sz w:val="28"/>
          <w:szCs w:val="28"/>
          <w:lang w:val="en-GB"/>
        </w:rPr>
      </w:pPr>
      <w:r>
        <w:rPr>
          <w:rFonts w:cs="Calibri"/>
          <w:sz w:val="28"/>
          <w:szCs w:val="28"/>
          <w:lang w:val="en-GB"/>
        </w:rPr>
        <w:tab/>
      </w:r>
    </w:p>
    <w:p w14:paraId="0217D997" w14:textId="102EEACE" w:rsidR="008423D8" w:rsidRPr="00D757E6" w:rsidRDefault="008423D8" w:rsidP="0062103D">
      <w:pPr>
        <w:rPr>
          <w:rFonts w:cs="Calibri"/>
          <w:sz w:val="28"/>
          <w:szCs w:val="28"/>
          <w:lang w:val="en-GB"/>
        </w:rPr>
      </w:pPr>
    </w:p>
    <w:p w14:paraId="5C1BF623" w14:textId="7420E1FB" w:rsidR="008423D8" w:rsidRDefault="00BF4121" w:rsidP="0062103D">
      <w:pPr>
        <w:rPr>
          <w:rFonts w:cs="Calibri"/>
          <w:sz w:val="28"/>
          <w:szCs w:val="28"/>
          <w:lang w:val="en-GB"/>
        </w:rPr>
      </w:pPr>
      <w:r>
        <w:rPr>
          <w:rFonts w:cs="Calibri"/>
          <w:sz w:val="28"/>
          <w:szCs w:val="28"/>
          <w:lang w:val="en-GB"/>
        </w:rPr>
        <w:t xml:space="preserve">                                                 __________________</w:t>
      </w:r>
    </w:p>
    <w:p w14:paraId="702364BC" w14:textId="4604ECAC" w:rsidR="008423D8" w:rsidRPr="00A26658" w:rsidRDefault="00D22579" w:rsidP="008423D8">
      <w:pPr>
        <w:tabs>
          <w:tab w:val="left" w:pos="6802"/>
        </w:tabs>
        <w:rPr>
          <w:b/>
          <w:bCs/>
        </w:rPr>
      </w:pPr>
      <w:r>
        <w:t xml:space="preserve">                              </w:t>
      </w:r>
      <w:r w:rsidR="008423D8" w:rsidRPr="00A26658">
        <w:t xml:space="preserve">                                       </w:t>
      </w:r>
      <w:r w:rsidR="008423D8" w:rsidRPr="00A26658">
        <w:rPr>
          <w:b/>
          <w:bCs/>
        </w:rPr>
        <w:t>Dr. Sam</w:t>
      </w:r>
      <w:r w:rsidR="008423D8">
        <w:rPr>
          <w:b/>
          <w:bCs/>
        </w:rPr>
        <w:t>i</w:t>
      </w:r>
      <w:r w:rsidR="008423D8" w:rsidRPr="00A26658">
        <w:rPr>
          <w:b/>
          <w:bCs/>
        </w:rPr>
        <w:t>r Al Bahrani</w:t>
      </w:r>
    </w:p>
    <w:p w14:paraId="18DC8632" w14:textId="77777777" w:rsidR="008423D8" w:rsidRPr="00FB5A7D" w:rsidRDefault="008423D8" w:rsidP="008423D8">
      <w:pPr>
        <w:tabs>
          <w:tab w:val="left" w:pos="6802"/>
        </w:tabs>
        <w:rPr>
          <w:b/>
          <w:bCs/>
        </w:rPr>
      </w:pPr>
      <w:r w:rsidRPr="00A26658">
        <w:rPr>
          <w:b/>
          <w:bCs/>
        </w:rPr>
        <w:t xml:space="preserve">                                                                    </w:t>
      </w:r>
      <w:r w:rsidRPr="00FB5A7D">
        <w:rPr>
          <w:b/>
          <w:bCs/>
        </w:rPr>
        <w:t>Manager of Institute</w:t>
      </w:r>
      <w:r>
        <w:rPr>
          <w:b/>
          <w:bCs/>
        </w:rPr>
        <w:t xml:space="preserve">                         Next Review 25 / June / 2026</w:t>
      </w:r>
    </w:p>
    <w:p w14:paraId="2512A681" w14:textId="571B39E1" w:rsidR="008423D8" w:rsidRPr="008423D8" w:rsidRDefault="008423D8" w:rsidP="008423D8">
      <w:pPr>
        <w:tabs>
          <w:tab w:val="left" w:pos="6802"/>
        </w:tabs>
        <w:rPr>
          <w:b/>
          <w:bCs/>
        </w:rPr>
      </w:pPr>
      <w:r w:rsidRPr="00FB5A7D">
        <w:rPr>
          <w:b/>
          <w:bCs/>
        </w:rPr>
        <w:t xml:space="preserve">                                                                     25 / </w:t>
      </w:r>
      <w:r>
        <w:rPr>
          <w:b/>
          <w:bCs/>
        </w:rPr>
        <w:t>June</w:t>
      </w:r>
      <w:r w:rsidRPr="00FB5A7D">
        <w:rPr>
          <w:b/>
          <w:bCs/>
        </w:rPr>
        <w:t xml:space="preserve"> / 2025</w:t>
      </w:r>
    </w:p>
    <w:sectPr w:rsidR="008423D8" w:rsidRPr="008423D8" w:rsidSect="008A206C">
      <w:headerReference w:type="default" r:id="rId8"/>
      <w:footerReference w:type="default" r:id="rId9"/>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4FC23" w14:textId="77777777" w:rsidR="00961F12" w:rsidRDefault="00961F12" w:rsidP="002C7D37">
      <w:pPr>
        <w:spacing w:after="0" w:line="240" w:lineRule="auto"/>
      </w:pPr>
      <w:r>
        <w:separator/>
      </w:r>
    </w:p>
  </w:endnote>
  <w:endnote w:type="continuationSeparator" w:id="0">
    <w:p w14:paraId="3B77DDF1" w14:textId="77777777" w:rsidR="00961F12" w:rsidRDefault="00961F12"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BC96C" w14:textId="41A56C7B" w:rsidR="00D22579" w:rsidRDefault="00D22579">
    <w:pPr>
      <w:pStyle w:val="Footer"/>
      <w:rPr>
        <w:b/>
        <w:bCs/>
      </w:rPr>
    </w:pPr>
    <w:r w:rsidRPr="00A26658">
      <w:rPr>
        <w:b/>
        <w:bCs/>
      </w:rPr>
      <w:t>TQTI-HSE-PO-1</w:t>
    </w:r>
    <w:r>
      <w:rPr>
        <w:b/>
        <w:bCs/>
      </w:rPr>
      <w:t>2</w:t>
    </w:r>
  </w:p>
  <w:p w14:paraId="59811DB6" w14:textId="77777777" w:rsidR="00D22579" w:rsidRDefault="00D22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DFF52" w14:textId="77777777" w:rsidR="00961F12" w:rsidRDefault="00961F12" w:rsidP="002C7D37">
      <w:pPr>
        <w:spacing w:after="0" w:line="240" w:lineRule="auto"/>
      </w:pPr>
      <w:r>
        <w:separator/>
      </w:r>
    </w:p>
  </w:footnote>
  <w:footnote w:type="continuationSeparator" w:id="0">
    <w:p w14:paraId="4B10B8AD" w14:textId="77777777" w:rsidR="00961F12" w:rsidRDefault="00961F12"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ABE39" w14:textId="7653426D" w:rsidR="00115037" w:rsidRPr="00115037" w:rsidRDefault="00115037" w:rsidP="00115037">
    <w:pPr>
      <w:pStyle w:val="Header"/>
      <w:rPr>
        <w:noProof/>
        <w:lang w:val="en-IN"/>
      </w:rPr>
    </w:pPr>
    <w:r>
      <w:rPr>
        <w:noProof/>
        <w:lang w:val="en-IN"/>
      </w:rPr>
      <w:drawing>
        <wp:anchor distT="0" distB="0" distL="114300" distR="114300" simplePos="0" relativeHeight="251659264" behindDoc="0" locked="0" layoutInCell="1" allowOverlap="1" wp14:anchorId="345DC0E4" wp14:editId="21DB54DC">
          <wp:simplePos x="0" y="0"/>
          <wp:positionH relativeFrom="page">
            <wp:posOffset>38100</wp:posOffset>
          </wp:positionH>
          <wp:positionV relativeFrom="paragraph">
            <wp:posOffset>69850</wp:posOffset>
          </wp:positionV>
          <wp:extent cx="7689850" cy="1073150"/>
          <wp:effectExtent l="0" t="0" r="635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0194" cy="107319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F53"/>
    <w:multiLevelType w:val="multilevel"/>
    <w:tmpl w:val="C242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90A5A"/>
    <w:multiLevelType w:val="multilevel"/>
    <w:tmpl w:val="B53A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6292C"/>
    <w:multiLevelType w:val="multilevel"/>
    <w:tmpl w:val="60EA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1A713B"/>
    <w:multiLevelType w:val="multilevel"/>
    <w:tmpl w:val="8808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7B27FC"/>
    <w:multiLevelType w:val="multilevel"/>
    <w:tmpl w:val="4568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460043"/>
    <w:multiLevelType w:val="multilevel"/>
    <w:tmpl w:val="65DE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5C2016"/>
    <w:multiLevelType w:val="multilevel"/>
    <w:tmpl w:val="549A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F2620A"/>
    <w:multiLevelType w:val="multilevel"/>
    <w:tmpl w:val="C1CE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284403"/>
    <w:multiLevelType w:val="hybridMultilevel"/>
    <w:tmpl w:val="C288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2249340">
    <w:abstractNumId w:val="7"/>
  </w:num>
  <w:num w:numId="2" w16cid:durableId="1841971317">
    <w:abstractNumId w:val="2"/>
  </w:num>
  <w:num w:numId="3" w16cid:durableId="467745884">
    <w:abstractNumId w:val="8"/>
  </w:num>
  <w:num w:numId="4" w16cid:durableId="272248718">
    <w:abstractNumId w:val="1"/>
  </w:num>
  <w:num w:numId="5" w16cid:durableId="936181912">
    <w:abstractNumId w:val="10"/>
  </w:num>
  <w:num w:numId="6" w16cid:durableId="179706617">
    <w:abstractNumId w:val="9"/>
  </w:num>
  <w:num w:numId="7" w16cid:durableId="758647576">
    <w:abstractNumId w:val="0"/>
  </w:num>
  <w:num w:numId="8" w16cid:durableId="909384951">
    <w:abstractNumId w:val="4"/>
  </w:num>
  <w:num w:numId="9" w16cid:durableId="1226844000">
    <w:abstractNumId w:val="6"/>
  </w:num>
  <w:num w:numId="10" w16cid:durableId="703286818">
    <w:abstractNumId w:val="5"/>
  </w:num>
  <w:num w:numId="11" w16cid:durableId="519507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55300"/>
    <w:rsid w:val="000908C9"/>
    <w:rsid w:val="000B4E29"/>
    <w:rsid w:val="000C7DBE"/>
    <w:rsid w:val="000D5E20"/>
    <w:rsid w:val="00115037"/>
    <w:rsid w:val="00182F67"/>
    <w:rsid w:val="00240D6C"/>
    <w:rsid w:val="0026243F"/>
    <w:rsid w:val="00295464"/>
    <w:rsid w:val="002A2C9D"/>
    <w:rsid w:val="002C7D37"/>
    <w:rsid w:val="00345F11"/>
    <w:rsid w:val="0037608F"/>
    <w:rsid w:val="003C2736"/>
    <w:rsid w:val="003E3BD9"/>
    <w:rsid w:val="004102C1"/>
    <w:rsid w:val="00461CD0"/>
    <w:rsid w:val="00535B5B"/>
    <w:rsid w:val="005E2C7E"/>
    <w:rsid w:val="00617E1B"/>
    <w:rsid w:val="0062103D"/>
    <w:rsid w:val="00625746"/>
    <w:rsid w:val="00641DFB"/>
    <w:rsid w:val="00667F82"/>
    <w:rsid w:val="00674200"/>
    <w:rsid w:val="006C5E89"/>
    <w:rsid w:val="006F505D"/>
    <w:rsid w:val="00735B84"/>
    <w:rsid w:val="007A35D0"/>
    <w:rsid w:val="007C38FF"/>
    <w:rsid w:val="007E73A4"/>
    <w:rsid w:val="00805722"/>
    <w:rsid w:val="008423D8"/>
    <w:rsid w:val="008A206C"/>
    <w:rsid w:val="008A4091"/>
    <w:rsid w:val="00957E2D"/>
    <w:rsid w:val="00957F1C"/>
    <w:rsid w:val="00961F12"/>
    <w:rsid w:val="009A5463"/>
    <w:rsid w:val="009B0C71"/>
    <w:rsid w:val="009C4E2E"/>
    <w:rsid w:val="00A16900"/>
    <w:rsid w:val="00A325A3"/>
    <w:rsid w:val="00A35FDB"/>
    <w:rsid w:val="00A4789E"/>
    <w:rsid w:val="00A55FA5"/>
    <w:rsid w:val="00A62F55"/>
    <w:rsid w:val="00A86CDE"/>
    <w:rsid w:val="00A96C1F"/>
    <w:rsid w:val="00AE6885"/>
    <w:rsid w:val="00B07806"/>
    <w:rsid w:val="00B23BB8"/>
    <w:rsid w:val="00BA1D34"/>
    <w:rsid w:val="00BF4121"/>
    <w:rsid w:val="00C62DB0"/>
    <w:rsid w:val="00C7042D"/>
    <w:rsid w:val="00D22579"/>
    <w:rsid w:val="00D757E6"/>
    <w:rsid w:val="00D95656"/>
    <w:rsid w:val="00DB2802"/>
    <w:rsid w:val="00EB4463"/>
    <w:rsid w:val="00EC4853"/>
    <w:rsid w:val="00EF5000"/>
    <w:rsid w:val="00F25A23"/>
    <w:rsid w:val="00F31ACD"/>
    <w:rsid w:val="00FA71FE"/>
    <w:rsid w:val="00FB4C3E"/>
    <w:rsid w:val="00FB5A7D"/>
    <w:rsid w:val="00FC2584"/>
    <w:rsid w:val="00FD7F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 w:type="paragraph" w:styleId="NoSpacing">
    <w:name w:val="No Spacing"/>
    <w:uiPriority w:val="1"/>
    <w:qFormat/>
    <w:rsid w:val="006F505D"/>
    <w:pPr>
      <w:spacing w:after="0" w:line="240" w:lineRule="auto"/>
    </w:pPr>
    <w:rPr>
      <w:rFonts w:ascii="Calibri" w:eastAsia="Calibri" w:hAnsi="Calibri" w:cs="Arial"/>
      <w:kern w:val="0"/>
      <w:sz w:val="22"/>
      <w:szCs w:val="22"/>
      <w:lang w:bidi="ar-OM"/>
      <w14:ligatures w14:val="none"/>
    </w:rPr>
  </w:style>
  <w:style w:type="table" w:styleId="TableGrid">
    <w:name w:val="Table Grid"/>
    <w:basedOn w:val="TableNormal"/>
    <w:uiPriority w:val="39"/>
    <w:rsid w:val="00621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E1B"/>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4</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44</cp:revision>
  <cp:lastPrinted>2025-03-28T10:06:00Z</cp:lastPrinted>
  <dcterms:created xsi:type="dcterms:W3CDTF">2025-03-28T10:03:00Z</dcterms:created>
  <dcterms:modified xsi:type="dcterms:W3CDTF">2025-11-08T14:40:00Z</dcterms:modified>
</cp:coreProperties>
</file>